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5D3E59">
        <w:rPr>
          <w:rFonts w:cstheme="minorHAnsi"/>
          <w:sz w:val="24"/>
          <w:szCs w:val="24"/>
          <w:highlight w:val="yellow"/>
        </w:rPr>
        <w:t>Gemeinde NN</w:t>
      </w:r>
      <w:r w:rsidRPr="005D3E59">
        <w:rPr>
          <w:rFonts w:cstheme="minorHAnsi"/>
          <w:sz w:val="24"/>
          <w:szCs w:val="24"/>
        </w:rPr>
        <w:t xml:space="preserve"> </w:t>
      </w:r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Richtlinie</w:t>
      </w:r>
      <w:r w:rsidR="005D3E59">
        <w:rPr>
          <w:rFonts w:cstheme="minorHAnsi"/>
          <w:b/>
          <w:bCs/>
          <w:sz w:val="24"/>
          <w:szCs w:val="24"/>
        </w:rPr>
        <w:t xml:space="preserve"> </w:t>
      </w:r>
      <w:r w:rsidRPr="005D3E59">
        <w:rPr>
          <w:rFonts w:cstheme="minorHAnsi"/>
          <w:sz w:val="24"/>
          <w:szCs w:val="24"/>
        </w:rPr>
        <w:t>über die</w:t>
      </w:r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Förderung von Checks zur Prüfung der Eignung von Gebäuden für eine Beheizung mit Holzpellets</w:t>
      </w:r>
      <w:r w:rsidR="00F479EC" w:rsidRPr="005D3E59">
        <w:rPr>
          <w:rFonts w:cstheme="minorHAnsi"/>
          <w:b/>
          <w:bCs/>
          <w:sz w:val="24"/>
          <w:szCs w:val="24"/>
        </w:rPr>
        <w:t xml:space="preserve"> („Pellets-Checks“)</w:t>
      </w:r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vom </w:t>
      </w:r>
      <w:proofErr w:type="spellStart"/>
      <w:r w:rsidRPr="005D3E59">
        <w:rPr>
          <w:rFonts w:cstheme="minorHAnsi"/>
          <w:sz w:val="24"/>
          <w:szCs w:val="24"/>
          <w:highlight w:val="yellow"/>
        </w:rPr>
        <w:t>tt.mm.jjjj</w:t>
      </w:r>
      <w:proofErr w:type="spellEnd"/>
    </w:p>
    <w:p w:rsidR="00176286" w:rsidRPr="005D3E59" w:rsidRDefault="00176286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76286" w:rsidRPr="005D3E59" w:rsidRDefault="0017628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1.</w:t>
      </w:r>
      <w:r w:rsidR="00180F3B" w:rsidRPr="005D3E59">
        <w:rPr>
          <w:rFonts w:cstheme="minorHAnsi"/>
          <w:b/>
          <w:bCs/>
          <w:sz w:val="24"/>
          <w:szCs w:val="24"/>
        </w:rPr>
        <w:tab/>
      </w:r>
      <w:r w:rsidRPr="005D3E59">
        <w:rPr>
          <w:rFonts w:cstheme="minorHAnsi"/>
          <w:b/>
          <w:bCs/>
          <w:sz w:val="24"/>
          <w:szCs w:val="24"/>
        </w:rPr>
        <w:t>Zuwendungszweck</w:t>
      </w:r>
    </w:p>
    <w:p w:rsidR="00176286" w:rsidRPr="005D3E59" w:rsidRDefault="00176286" w:rsidP="00180F3B">
      <w:pPr>
        <w:autoSpaceDE w:val="0"/>
        <w:autoSpaceDN w:val="0"/>
        <w:adjustRightInd w:val="0"/>
        <w:spacing w:before="120" w:line="240" w:lineRule="auto"/>
        <w:ind w:left="426" w:hanging="426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1.1 </w:t>
      </w:r>
      <w:r w:rsidR="00180F3B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Die Endlichkeit fossiler Brennstoffe und die Verminderung de</w:t>
      </w:r>
      <w:r w:rsidR="0064615F" w:rsidRPr="005D3E59">
        <w:rPr>
          <w:rFonts w:cstheme="minorHAnsi"/>
          <w:sz w:val="24"/>
          <w:szCs w:val="24"/>
        </w:rPr>
        <w:t>r</w:t>
      </w:r>
      <w:r w:rsidRPr="005D3E59">
        <w:rPr>
          <w:rFonts w:cstheme="minorHAnsi"/>
          <w:sz w:val="24"/>
          <w:szCs w:val="24"/>
        </w:rPr>
        <w:t xml:space="preserve"> CO</w:t>
      </w:r>
      <w:r w:rsidRPr="004C2E0C">
        <w:rPr>
          <w:rFonts w:cstheme="minorHAnsi"/>
          <w:sz w:val="24"/>
          <w:szCs w:val="24"/>
          <w:vertAlign w:val="subscript"/>
        </w:rPr>
        <w:t>2</w:t>
      </w:r>
      <w:r w:rsidRPr="005D3E59">
        <w:rPr>
          <w:rFonts w:cstheme="minorHAnsi"/>
          <w:sz w:val="24"/>
          <w:szCs w:val="24"/>
        </w:rPr>
        <w:t>-</w:t>
      </w:r>
      <w:r w:rsidR="0064615F" w:rsidRPr="005D3E59">
        <w:rPr>
          <w:rFonts w:cstheme="minorHAnsi"/>
          <w:sz w:val="24"/>
          <w:szCs w:val="24"/>
        </w:rPr>
        <w:t xml:space="preserve">Emissionen </w:t>
      </w:r>
      <w:r w:rsidRPr="005D3E59">
        <w:rPr>
          <w:rFonts w:cstheme="minorHAnsi"/>
          <w:sz w:val="24"/>
          <w:szCs w:val="24"/>
        </w:rPr>
        <w:t xml:space="preserve">erfordern verstärkt die Nutzung erneuerbarer Energieträger. Ziel der Förderung </w:t>
      </w:r>
      <w:r w:rsidR="0064615F" w:rsidRPr="005D3E59">
        <w:rPr>
          <w:rFonts w:cstheme="minorHAnsi"/>
          <w:sz w:val="24"/>
          <w:szCs w:val="24"/>
        </w:rPr>
        <w:t xml:space="preserve">ist es </w:t>
      </w:r>
      <w:r w:rsidRPr="005D3E59">
        <w:rPr>
          <w:rFonts w:cstheme="minorHAnsi"/>
          <w:sz w:val="24"/>
          <w:szCs w:val="24"/>
        </w:rPr>
        <w:t xml:space="preserve">deshalb, </w:t>
      </w:r>
      <w:r w:rsidR="0064615F" w:rsidRPr="005D3E59">
        <w:rPr>
          <w:rFonts w:cstheme="minorHAnsi"/>
          <w:sz w:val="24"/>
          <w:szCs w:val="24"/>
        </w:rPr>
        <w:t xml:space="preserve">Hauseigentümer darüber zu informieren, ob </w:t>
      </w:r>
      <w:r w:rsidR="00180F3B" w:rsidRPr="005D3E59">
        <w:rPr>
          <w:rFonts w:cstheme="minorHAnsi"/>
          <w:sz w:val="24"/>
          <w:szCs w:val="24"/>
        </w:rPr>
        <w:t xml:space="preserve">die für </w:t>
      </w:r>
      <w:r w:rsidR="0064615F" w:rsidRPr="005D3E59">
        <w:rPr>
          <w:rFonts w:cstheme="minorHAnsi"/>
          <w:sz w:val="24"/>
          <w:szCs w:val="24"/>
        </w:rPr>
        <w:t xml:space="preserve">ihr Haus für </w:t>
      </w:r>
      <w:r w:rsidR="00180F3B" w:rsidRPr="005D3E59">
        <w:rPr>
          <w:rFonts w:cstheme="minorHAnsi"/>
          <w:sz w:val="24"/>
          <w:szCs w:val="24"/>
        </w:rPr>
        <w:t xml:space="preserve">Heizung </w:t>
      </w:r>
      <w:r w:rsidR="00F479EC" w:rsidRPr="005D3E59">
        <w:rPr>
          <w:rFonts w:cstheme="minorHAnsi"/>
          <w:sz w:val="24"/>
          <w:szCs w:val="24"/>
        </w:rPr>
        <w:t xml:space="preserve">und </w:t>
      </w:r>
      <w:r w:rsidR="00180F3B" w:rsidRPr="005D3E59">
        <w:rPr>
          <w:rFonts w:cstheme="minorHAnsi"/>
          <w:sz w:val="24"/>
          <w:szCs w:val="24"/>
        </w:rPr>
        <w:t xml:space="preserve">auch </w:t>
      </w:r>
      <w:r w:rsidR="00F479EC" w:rsidRPr="005D3E59">
        <w:rPr>
          <w:rFonts w:cstheme="minorHAnsi"/>
          <w:sz w:val="24"/>
          <w:szCs w:val="24"/>
        </w:rPr>
        <w:t xml:space="preserve">ggf. </w:t>
      </w:r>
      <w:r w:rsidR="00180F3B" w:rsidRPr="005D3E59">
        <w:rPr>
          <w:rFonts w:cstheme="minorHAnsi"/>
          <w:sz w:val="24"/>
          <w:szCs w:val="24"/>
        </w:rPr>
        <w:t xml:space="preserve">für </w:t>
      </w:r>
      <w:r w:rsidR="0064615F" w:rsidRPr="005D3E59">
        <w:rPr>
          <w:rFonts w:cstheme="minorHAnsi"/>
          <w:sz w:val="24"/>
          <w:szCs w:val="24"/>
        </w:rPr>
        <w:t xml:space="preserve">Warmwasser </w:t>
      </w:r>
      <w:r w:rsidRPr="005D3E59">
        <w:rPr>
          <w:rFonts w:cstheme="minorHAnsi"/>
          <w:sz w:val="24"/>
          <w:szCs w:val="24"/>
        </w:rPr>
        <w:t xml:space="preserve">benötigte </w:t>
      </w:r>
      <w:r w:rsidR="0064615F" w:rsidRPr="005D3E59">
        <w:rPr>
          <w:rFonts w:cstheme="minorHAnsi"/>
          <w:sz w:val="24"/>
          <w:szCs w:val="24"/>
        </w:rPr>
        <w:t>E</w:t>
      </w:r>
      <w:r w:rsidRPr="005D3E59">
        <w:rPr>
          <w:rFonts w:cstheme="minorHAnsi"/>
          <w:sz w:val="24"/>
          <w:szCs w:val="24"/>
        </w:rPr>
        <w:t xml:space="preserve">nergie aus </w:t>
      </w:r>
      <w:r w:rsidR="0064615F" w:rsidRPr="005D3E59">
        <w:rPr>
          <w:rFonts w:cstheme="minorHAnsi"/>
          <w:sz w:val="24"/>
          <w:szCs w:val="24"/>
        </w:rPr>
        <w:t>Holzpellets gewonnen werden kann</w:t>
      </w:r>
      <w:r w:rsidRPr="005D3E59">
        <w:rPr>
          <w:rFonts w:cstheme="minorHAnsi"/>
          <w:sz w:val="24"/>
          <w:szCs w:val="24"/>
        </w:rPr>
        <w:t>.</w:t>
      </w:r>
    </w:p>
    <w:p w:rsidR="0064615F" w:rsidRPr="005D3E59" w:rsidRDefault="00180F3B" w:rsidP="00180F3B">
      <w:pPr>
        <w:autoSpaceDE w:val="0"/>
        <w:autoSpaceDN w:val="0"/>
        <w:adjustRightInd w:val="0"/>
        <w:spacing w:before="120" w:line="240" w:lineRule="auto"/>
        <w:ind w:left="426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Weil bei der </w:t>
      </w:r>
      <w:r w:rsidR="0064615F" w:rsidRPr="005D3E59">
        <w:rPr>
          <w:rFonts w:cstheme="minorHAnsi"/>
          <w:sz w:val="24"/>
          <w:szCs w:val="24"/>
        </w:rPr>
        <w:t>Ver</w:t>
      </w:r>
      <w:r w:rsidRPr="005D3E59">
        <w:rPr>
          <w:rFonts w:cstheme="minorHAnsi"/>
          <w:sz w:val="24"/>
          <w:szCs w:val="24"/>
        </w:rPr>
        <w:t xml:space="preserve">brennung von </w:t>
      </w:r>
      <w:r w:rsidR="0064615F" w:rsidRPr="005D3E59">
        <w:rPr>
          <w:rFonts w:cstheme="minorHAnsi"/>
          <w:sz w:val="24"/>
          <w:szCs w:val="24"/>
        </w:rPr>
        <w:t xml:space="preserve">Heizöl </w:t>
      </w:r>
      <w:r w:rsidRPr="005D3E59">
        <w:rPr>
          <w:rFonts w:cstheme="minorHAnsi"/>
          <w:sz w:val="24"/>
          <w:szCs w:val="24"/>
        </w:rPr>
        <w:t>relativ viel CO</w:t>
      </w:r>
      <w:r w:rsidRPr="005D3E59">
        <w:rPr>
          <w:rFonts w:cstheme="minorHAnsi"/>
          <w:sz w:val="24"/>
          <w:szCs w:val="24"/>
          <w:vertAlign w:val="subscript"/>
        </w:rPr>
        <w:t>2</w:t>
      </w:r>
      <w:r w:rsidRPr="005D3E59">
        <w:rPr>
          <w:rFonts w:cstheme="minorHAnsi"/>
          <w:sz w:val="24"/>
          <w:szCs w:val="24"/>
        </w:rPr>
        <w:t xml:space="preserve"> freigesetzt wird, das lange im Erdboden gebunden war, sollen vorrangig Hauseigentümer erreicht werden, bei denen der Brennstoff Heizöl durch den Brennstoff </w:t>
      </w:r>
      <w:r w:rsidR="0064615F" w:rsidRPr="005D3E59">
        <w:rPr>
          <w:rFonts w:cstheme="minorHAnsi"/>
          <w:sz w:val="24"/>
          <w:szCs w:val="24"/>
        </w:rPr>
        <w:t xml:space="preserve">Holzpellets </w:t>
      </w:r>
      <w:r w:rsidRPr="005D3E59">
        <w:rPr>
          <w:rFonts w:cstheme="minorHAnsi"/>
          <w:sz w:val="24"/>
          <w:szCs w:val="24"/>
        </w:rPr>
        <w:t>ersetzt werden könnte</w:t>
      </w:r>
      <w:r w:rsidR="0064615F" w:rsidRPr="005D3E59">
        <w:rPr>
          <w:rFonts w:cstheme="minorHAnsi"/>
          <w:sz w:val="24"/>
          <w:szCs w:val="24"/>
        </w:rPr>
        <w:t>.</w:t>
      </w:r>
    </w:p>
    <w:p w:rsidR="00176286" w:rsidRPr="005D3E59" w:rsidRDefault="0017628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1.2 </w:t>
      </w:r>
      <w:r w:rsidR="00180F3B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Ein Rechtsanspruch auf die Bewilligung eines Zuschusses besteht nicht.</w:t>
      </w:r>
    </w:p>
    <w:p w:rsidR="00176286" w:rsidRPr="005D3E59" w:rsidRDefault="0017628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1.3 </w:t>
      </w:r>
      <w:r w:rsidR="00180F3B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Die Gewährung eines Zuschusses ist nur im Rahmen der zur Verfügung stehenden Haushaltsmittel möglich.</w:t>
      </w:r>
    </w:p>
    <w:p w:rsidR="00020128" w:rsidRPr="005D3E59" w:rsidRDefault="00180F3B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2.</w:t>
      </w:r>
      <w:r w:rsidRPr="005D3E59">
        <w:rPr>
          <w:rFonts w:cstheme="minorHAnsi"/>
          <w:b/>
          <w:bCs/>
          <w:sz w:val="24"/>
          <w:szCs w:val="24"/>
        </w:rPr>
        <w:tab/>
      </w:r>
      <w:r w:rsidR="00020128" w:rsidRPr="005D3E59">
        <w:rPr>
          <w:rFonts w:cstheme="minorHAnsi"/>
          <w:b/>
          <w:bCs/>
          <w:sz w:val="24"/>
          <w:szCs w:val="24"/>
        </w:rPr>
        <w:t>Allgemeine Voraussetzung</w:t>
      </w:r>
      <w:r w:rsidRPr="005D3E59">
        <w:rPr>
          <w:rFonts w:cstheme="minorHAnsi"/>
          <w:b/>
          <w:bCs/>
          <w:sz w:val="24"/>
          <w:szCs w:val="24"/>
        </w:rPr>
        <w:t>en</w:t>
      </w:r>
    </w:p>
    <w:p w:rsidR="00020128" w:rsidRPr="005D3E59" w:rsidRDefault="00020128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2.1 </w:t>
      </w:r>
      <w:r w:rsidR="00180F3B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 xml:space="preserve">Die Förderung wird für Gebäude auf dem Gebiet der Gemeinde </w:t>
      </w:r>
      <w:r w:rsidRPr="005D3E59">
        <w:rPr>
          <w:rFonts w:cstheme="minorHAnsi"/>
          <w:sz w:val="24"/>
          <w:szCs w:val="24"/>
          <w:highlight w:val="yellow"/>
        </w:rPr>
        <w:t>NN</w:t>
      </w:r>
      <w:r w:rsidRPr="005D3E59">
        <w:rPr>
          <w:rFonts w:cstheme="minorHAnsi"/>
          <w:sz w:val="24"/>
          <w:szCs w:val="24"/>
        </w:rPr>
        <w:t xml:space="preserve"> gewährt. </w:t>
      </w:r>
    </w:p>
    <w:p w:rsidR="00020128" w:rsidRDefault="00020128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2.2 </w:t>
      </w:r>
      <w:r w:rsidR="00180F3B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Pellets-Checks werden nur gefördert, wenn sie von einem Fachbetrieb des Heizungsbauhandwerks, des Schornsteinfegerhandwerks oder einem Energie</w:t>
      </w:r>
      <w:r w:rsidR="00180F3B" w:rsidRPr="005D3E59">
        <w:rPr>
          <w:rFonts w:cstheme="minorHAnsi"/>
          <w:sz w:val="24"/>
          <w:szCs w:val="24"/>
        </w:rPr>
        <w:t>berater</w:t>
      </w:r>
      <w:r w:rsidRPr="005D3E59">
        <w:rPr>
          <w:rFonts w:cstheme="minorHAnsi"/>
          <w:sz w:val="24"/>
          <w:szCs w:val="24"/>
        </w:rPr>
        <w:t xml:space="preserve"> durchgeführt wurden</w:t>
      </w:r>
      <w:r w:rsidR="00180F3B" w:rsidRPr="005D3E59">
        <w:rPr>
          <w:rFonts w:cstheme="minorHAnsi"/>
          <w:sz w:val="24"/>
          <w:szCs w:val="24"/>
        </w:rPr>
        <w:t>, der zum Zeitpunkt der Ausfertigung des Pellets-Checks in der Liste der Energieeffizienzexperten für Förderprogramme des Bundes für den Bereich private Hauseigentümer gelistet ist.</w:t>
      </w:r>
    </w:p>
    <w:p w:rsidR="005E2F4A" w:rsidRPr="005D3E59" w:rsidRDefault="005E2F4A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2.3 Es werden nur Pellets-Checks für Gebäude gefördert, bei denen zum Zeitpunkt der Antragstellung keine Pellets-Zentralheizung installiert ist. Bestehen bei der Gemeinde Zweifel, so ist der Gemeinde gegenüber </w:t>
      </w:r>
      <w:r w:rsidR="005C10A6">
        <w:rPr>
          <w:rFonts w:cstheme="minorHAnsi"/>
          <w:sz w:val="24"/>
          <w:szCs w:val="24"/>
        </w:rPr>
        <w:t>z.B. durch eine Bescheinigung des bevollmächtigten Bezirksschornsteinfegers nachzuweisen, welche Art von Heizung zum Zeitpunkt der Antragstellung installiert war. Die Kosten dieses Nachweises trägt der Antragsteller.</w:t>
      </w:r>
    </w:p>
    <w:p w:rsidR="00176286" w:rsidRPr="005D3E59" w:rsidRDefault="00180F3B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3.</w:t>
      </w:r>
      <w:r w:rsidRPr="005D3E59">
        <w:rPr>
          <w:rFonts w:cstheme="minorHAnsi"/>
          <w:b/>
          <w:bCs/>
          <w:sz w:val="24"/>
          <w:szCs w:val="24"/>
        </w:rPr>
        <w:tab/>
      </w:r>
      <w:r w:rsidR="00176286" w:rsidRPr="005D3E59">
        <w:rPr>
          <w:rFonts w:cstheme="minorHAnsi"/>
          <w:b/>
          <w:bCs/>
          <w:sz w:val="24"/>
          <w:szCs w:val="24"/>
        </w:rPr>
        <w:t>Zuwendungsempfänger</w:t>
      </w:r>
    </w:p>
    <w:p w:rsidR="00176286" w:rsidRPr="005D3E59" w:rsidRDefault="0017628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3.1 </w:t>
      </w:r>
      <w:r w:rsidR="00C12768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Antragsberechtigt sind Grund- und Gebäudeeigentümer oder sonstige dinglich Verfügungsberechtigte (zum Beispiel Erbbauberechtigte, Wohnungseigentümer).</w:t>
      </w:r>
    </w:p>
    <w:p w:rsidR="00176286" w:rsidRPr="005D3E59" w:rsidRDefault="0017628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3.2 </w:t>
      </w:r>
      <w:r w:rsidR="00C12768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 xml:space="preserve">Die Förderung kann sowohl für bestehende Gebäude als auch für Neubauvorhaben, unabhängig von ihrer Nutzungsart (Wohnnutzung, gewerbliche Nutzung), </w:t>
      </w:r>
      <w:r w:rsidR="00C12768" w:rsidRPr="005D3E59">
        <w:rPr>
          <w:rFonts w:cstheme="minorHAnsi"/>
          <w:sz w:val="24"/>
          <w:szCs w:val="24"/>
        </w:rPr>
        <w:t xml:space="preserve">bis zu einer Wohn- bzw. Nutzfläche von 1.000 m² </w:t>
      </w:r>
      <w:r w:rsidRPr="005D3E59">
        <w:rPr>
          <w:rFonts w:cstheme="minorHAnsi"/>
          <w:sz w:val="24"/>
          <w:szCs w:val="24"/>
        </w:rPr>
        <w:t>gewährt werden.</w:t>
      </w:r>
    </w:p>
    <w:p w:rsidR="001115A9" w:rsidRPr="005D3E59" w:rsidRDefault="001115A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3.3 </w:t>
      </w:r>
      <w:r w:rsidR="00C12768" w:rsidRPr="005D3E59">
        <w:rPr>
          <w:rFonts w:cstheme="minorHAnsi"/>
          <w:sz w:val="24"/>
          <w:szCs w:val="24"/>
        </w:rPr>
        <w:tab/>
      </w:r>
      <w:r w:rsidRPr="005D3E59">
        <w:rPr>
          <w:rFonts w:cstheme="minorHAnsi"/>
          <w:sz w:val="24"/>
          <w:szCs w:val="24"/>
        </w:rPr>
        <w:t>Gefördert w</w:t>
      </w:r>
      <w:r w:rsidR="00BF424B" w:rsidRPr="005D3E59">
        <w:rPr>
          <w:rFonts w:cstheme="minorHAnsi"/>
          <w:sz w:val="24"/>
          <w:szCs w:val="24"/>
        </w:rPr>
        <w:t xml:space="preserve">ird nur ein Check pro Gebäude. </w:t>
      </w:r>
    </w:p>
    <w:p w:rsidR="00020128" w:rsidRPr="005D3E59" w:rsidRDefault="00180F3B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lastRenderedPageBreak/>
        <w:t>4.</w:t>
      </w:r>
      <w:r w:rsidR="00C12768" w:rsidRPr="005D3E59">
        <w:rPr>
          <w:rFonts w:cstheme="minorHAnsi"/>
          <w:b/>
          <w:bCs/>
          <w:sz w:val="24"/>
          <w:szCs w:val="24"/>
        </w:rPr>
        <w:tab/>
      </w:r>
      <w:r w:rsidR="00020128" w:rsidRPr="005D3E59">
        <w:rPr>
          <w:rFonts w:cstheme="minorHAnsi"/>
          <w:b/>
          <w:bCs/>
          <w:sz w:val="24"/>
          <w:szCs w:val="24"/>
        </w:rPr>
        <w:t>Gegenstand und Höhe der Förderung</w:t>
      </w:r>
    </w:p>
    <w:p w:rsidR="00020128" w:rsidRPr="005D3E59" w:rsidRDefault="0007564C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20128" w:rsidRPr="005D3E59">
        <w:rPr>
          <w:rFonts w:cstheme="minorHAnsi"/>
          <w:sz w:val="24"/>
          <w:szCs w:val="24"/>
        </w:rPr>
        <w:t xml:space="preserve">.1 </w:t>
      </w:r>
      <w:r w:rsidR="00C12768" w:rsidRPr="005D3E59">
        <w:rPr>
          <w:rFonts w:cstheme="minorHAnsi"/>
          <w:sz w:val="24"/>
          <w:szCs w:val="24"/>
        </w:rPr>
        <w:tab/>
      </w:r>
      <w:r w:rsidR="00020128" w:rsidRPr="005D3E59">
        <w:rPr>
          <w:rFonts w:cstheme="minorHAnsi"/>
          <w:sz w:val="24"/>
          <w:szCs w:val="24"/>
        </w:rPr>
        <w:t xml:space="preserve">Gefördert wird die Beratung von </w:t>
      </w:r>
      <w:r w:rsidR="00C12768" w:rsidRPr="005D3E59">
        <w:rPr>
          <w:rFonts w:cstheme="minorHAnsi"/>
          <w:sz w:val="24"/>
          <w:szCs w:val="24"/>
        </w:rPr>
        <w:t>E</w:t>
      </w:r>
      <w:r w:rsidR="00020128" w:rsidRPr="005D3E59">
        <w:rPr>
          <w:rFonts w:cstheme="minorHAnsi"/>
          <w:sz w:val="24"/>
          <w:szCs w:val="24"/>
        </w:rPr>
        <w:t xml:space="preserve">igentümern </w:t>
      </w:r>
      <w:r w:rsidR="0070769D">
        <w:rPr>
          <w:rFonts w:cstheme="minorHAnsi"/>
          <w:sz w:val="24"/>
          <w:szCs w:val="24"/>
        </w:rPr>
        <w:t>u.</w:t>
      </w:r>
      <w:r w:rsidR="00C12768" w:rsidRPr="005D3E59">
        <w:rPr>
          <w:rFonts w:cstheme="minorHAnsi"/>
          <w:sz w:val="24"/>
          <w:szCs w:val="24"/>
        </w:rPr>
        <w:t xml:space="preserve"> ä. entsprechend Nr. 3.1 </w:t>
      </w:r>
      <w:r w:rsidR="00020128" w:rsidRPr="005D3E59">
        <w:rPr>
          <w:rFonts w:cstheme="minorHAnsi"/>
          <w:sz w:val="24"/>
          <w:szCs w:val="24"/>
        </w:rPr>
        <w:t xml:space="preserve">nach dem Pellets-Check-Verfahren der Fraunhofer-Gesellschaft, siehe </w:t>
      </w:r>
      <w:r w:rsidR="00C12768" w:rsidRPr="005D3E59">
        <w:rPr>
          <w:rFonts w:cstheme="minorHAnsi"/>
          <w:sz w:val="24"/>
          <w:szCs w:val="24"/>
        </w:rPr>
        <w:t>www.heicepece.de</w:t>
      </w:r>
      <w:r w:rsidR="00020128" w:rsidRPr="005D3E59">
        <w:rPr>
          <w:rFonts w:cstheme="minorHAnsi"/>
          <w:sz w:val="24"/>
          <w:szCs w:val="24"/>
        </w:rPr>
        <w:t>. Dabei wird mit einem standardisierten systematischen Verfahren geprüft, ob ein Gebäude für eine Beheizung mit Holzpellets geeignet ist.</w:t>
      </w:r>
      <w:r w:rsidR="00C12768" w:rsidRPr="005D3E59">
        <w:rPr>
          <w:rFonts w:cstheme="minorHAnsi"/>
          <w:sz w:val="24"/>
          <w:szCs w:val="24"/>
        </w:rPr>
        <w:t xml:space="preserve"> Der Beratene erhält vom Berater einen Ausdruck des Pellets-Check-Ergebnisses sowie ergänzende geeignete Broschüren</w:t>
      </w:r>
      <w:r w:rsidR="0070769D">
        <w:rPr>
          <w:rFonts w:cstheme="minorHAnsi"/>
          <w:sz w:val="24"/>
          <w:szCs w:val="24"/>
        </w:rPr>
        <w:t>, z.B. zu ökologischen Gesichtspunkten, zur Wirtschaftlichkeit und zur Förderung</w:t>
      </w:r>
      <w:r w:rsidR="00C12768" w:rsidRPr="005D3E59">
        <w:rPr>
          <w:rFonts w:cstheme="minorHAnsi"/>
          <w:sz w:val="24"/>
          <w:szCs w:val="24"/>
        </w:rPr>
        <w:t>.</w:t>
      </w:r>
      <w:r w:rsidR="0070769D">
        <w:rPr>
          <w:rFonts w:cstheme="minorHAnsi"/>
          <w:sz w:val="24"/>
          <w:szCs w:val="24"/>
        </w:rPr>
        <w:t xml:space="preserve"> Pellets-Checks nach anderen Verfahren werden nicht gefördert.</w:t>
      </w:r>
    </w:p>
    <w:p w:rsidR="00020128" w:rsidRPr="005D3E59" w:rsidRDefault="0007564C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020128" w:rsidRPr="005D3E5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</w:t>
      </w:r>
      <w:r w:rsidR="00020128" w:rsidRPr="005D3E59">
        <w:rPr>
          <w:rFonts w:cstheme="minorHAnsi"/>
          <w:sz w:val="24"/>
          <w:szCs w:val="24"/>
        </w:rPr>
        <w:t xml:space="preserve"> </w:t>
      </w:r>
      <w:r w:rsidR="00C12768" w:rsidRPr="005D3E59">
        <w:rPr>
          <w:rFonts w:cstheme="minorHAnsi"/>
          <w:sz w:val="24"/>
          <w:szCs w:val="24"/>
        </w:rPr>
        <w:tab/>
      </w:r>
      <w:r w:rsidR="00020128" w:rsidRPr="005D3E59">
        <w:rPr>
          <w:rFonts w:cstheme="minorHAnsi"/>
          <w:sz w:val="24"/>
          <w:szCs w:val="24"/>
        </w:rPr>
        <w:t xml:space="preserve">Die Höhe der Förderung </w:t>
      </w:r>
      <w:r w:rsidR="00C12768" w:rsidRPr="005D3E59">
        <w:rPr>
          <w:rFonts w:cstheme="minorHAnsi"/>
          <w:sz w:val="24"/>
          <w:szCs w:val="24"/>
        </w:rPr>
        <w:t xml:space="preserve">für einen Pellets-Check </w:t>
      </w:r>
      <w:r w:rsidR="00020128" w:rsidRPr="005D3E59">
        <w:rPr>
          <w:rFonts w:cstheme="minorHAnsi"/>
          <w:sz w:val="24"/>
          <w:szCs w:val="24"/>
        </w:rPr>
        <w:t xml:space="preserve">beträgt </w:t>
      </w:r>
      <w:r w:rsidR="00020128" w:rsidRPr="005D3E59">
        <w:rPr>
          <w:rFonts w:cstheme="minorHAnsi"/>
          <w:sz w:val="24"/>
          <w:szCs w:val="24"/>
          <w:highlight w:val="yellow"/>
        </w:rPr>
        <w:t>100 €</w:t>
      </w:r>
      <w:r w:rsidR="00C12768" w:rsidRPr="005D3E59">
        <w:rPr>
          <w:rFonts w:cstheme="minorHAnsi"/>
          <w:sz w:val="24"/>
          <w:szCs w:val="24"/>
        </w:rPr>
        <w:t>.</w:t>
      </w:r>
    </w:p>
    <w:p w:rsidR="00176286" w:rsidRPr="005D3E59" w:rsidRDefault="00830AF6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 w:rsidRPr="005D3E59">
        <w:rPr>
          <w:rFonts w:cstheme="minorHAnsi"/>
          <w:b/>
          <w:bCs/>
          <w:sz w:val="24"/>
          <w:szCs w:val="24"/>
        </w:rPr>
        <w:t>5.</w:t>
      </w:r>
      <w:r w:rsidR="00180F3B" w:rsidRPr="005D3E59">
        <w:rPr>
          <w:rFonts w:cstheme="minorHAnsi"/>
          <w:b/>
          <w:bCs/>
          <w:sz w:val="24"/>
          <w:szCs w:val="24"/>
        </w:rPr>
        <w:tab/>
      </w:r>
      <w:r w:rsidR="00176286" w:rsidRPr="005D3E59">
        <w:rPr>
          <w:rFonts w:cstheme="minorHAnsi"/>
          <w:b/>
          <w:bCs/>
          <w:sz w:val="24"/>
          <w:szCs w:val="24"/>
        </w:rPr>
        <w:t>Verfahren</w:t>
      </w:r>
    </w:p>
    <w:p w:rsidR="00830AF6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176286" w:rsidRPr="005D3E59">
        <w:rPr>
          <w:rFonts w:cstheme="minorHAnsi"/>
          <w:sz w:val="24"/>
          <w:szCs w:val="24"/>
        </w:rPr>
        <w:t xml:space="preserve">.1 </w:t>
      </w:r>
      <w:r w:rsidR="00830AF6" w:rsidRPr="005D3E59">
        <w:rPr>
          <w:rFonts w:cstheme="minorHAnsi"/>
          <w:sz w:val="24"/>
          <w:szCs w:val="24"/>
        </w:rPr>
        <w:tab/>
      </w:r>
      <w:r w:rsidR="001115A9" w:rsidRPr="005D3E59">
        <w:rPr>
          <w:rFonts w:cstheme="minorHAnsi"/>
          <w:sz w:val="24"/>
          <w:szCs w:val="24"/>
        </w:rPr>
        <w:t xml:space="preserve">Förderanträge sind bei der Gemeinde, </w:t>
      </w:r>
      <w:r w:rsidR="001115A9" w:rsidRPr="005D3E59">
        <w:rPr>
          <w:rFonts w:cstheme="minorHAnsi"/>
          <w:sz w:val="24"/>
          <w:szCs w:val="24"/>
          <w:highlight w:val="yellow"/>
        </w:rPr>
        <w:t>Str., H.-</w:t>
      </w:r>
      <w:proofErr w:type="spellStart"/>
      <w:r w:rsidR="001115A9" w:rsidRPr="005D3E59">
        <w:rPr>
          <w:rFonts w:cstheme="minorHAnsi"/>
          <w:sz w:val="24"/>
          <w:szCs w:val="24"/>
          <w:highlight w:val="yellow"/>
        </w:rPr>
        <w:t>Nr</w:t>
      </w:r>
      <w:proofErr w:type="spellEnd"/>
      <w:r w:rsidR="001115A9" w:rsidRPr="005D3E59">
        <w:rPr>
          <w:rFonts w:cstheme="minorHAnsi"/>
          <w:sz w:val="24"/>
          <w:szCs w:val="24"/>
          <w:highlight w:val="yellow"/>
        </w:rPr>
        <w:t>,</w:t>
      </w:r>
      <w:r w:rsidR="001115A9" w:rsidRPr="005D3E59">
        <w:rPr>
          <w:rFonts w:cstheme="minorHAnsi"/>
          <w:sz w:val="24"/>
          <w:szCs w:val="24"/>
        </w:rPr>
        <w:t xml:space="preserve"> einzureichen. </w:t>
      </w:r>
    </w:p>
    <w:p w:rsidR="00965362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821705" w:rsidRPr="005D3E59">
        <w:rPr>
          <w:rFonts w:cstheme="minorHAnsi"/>
          <w:sz w:val="24"/>
          <w:szCs w:val="24"/>
        </w:rPr>
        <w:t>.2</w:t>
      </w:r>
      <w:r w:rsidR="00830AF6" w:rsidRPr="005D3E59">
        <w:rPr>
          <w:rFonts w:cstheme="minorHAnsi"/>
          <w:sz w:val="24"/>
          <w:szCs w:val="24"/>
        </w:rPr>
        <w:tab/>
      </w:r>
      <w:r w:rsidR="00965362" w:rsidRPr="005D3E59">
        <w:rPr>
          <w:rFonts w:cstheme="minorHAnsi"/>
          <w:sz w:val="24"/>
          <w:szCs w:val="24"/>
        </w:rPr>
        <w:t>Als Antrag dient der vom Antragsteller ausgefüllte, unterschriebene und bei der Gemeinde eingereichte Förderantrag (</w:t>
      </w:r>
      <w:r w:rsidR="00965362" w:rsidRPr="005D3E59">
        <w:rPr>
          <w:rFonts w:cstheme="minorHAnsi"/>
          <w:sz w:val="24"/>
          <w:szCs w:val="24"/>
          <w:highlight w:val="yellow"/>
        </w:rPr>
        <w:t>Formular Förderantrag Pellets-Check; siehe Anlage)</w:t>
      </w:r>
      <w:r w:rsidR="00F479EC" w:rsidRPr="005D3E59">
        <w:rPr>
          <w:rFonts w:cstheme="minorHAnsi"/>
          <w:sz w:val="24"/>
          <w:szCs w:val="24"/>
          <w:highlight w:val="yellow"/>
        </w:rPr>
        <w:t>.</w:t>
      </w:r>
    </w:p>
    <w:p w:rsidR="00830AF6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821705" w:rsidRPr="005D3E59">
        <w:rPr>
          <w:rFonts w:cstheme="minorHAnsi"/>
          <w:sz w:val="24"/>
          <w:szCs w:val="24"/>
        </w:rPr>
        <w:t>.3</w:t>
      </w:r>
      <w:r w:rsidR="00830AF6" w:rsidRPr="005D3E59">
        <w:rPr>
          <w:rFonts w:cstheme="minorHAnsi"/>
          <w:sz w:val="24"/>
          <w:szCs w:val="24"/>
        </w:rPr>
        <w:tab/>
      </w:r>
      <w:r w:rsidR="001115A9" w:rsidRPr="005D3E59">
        <w:rPr>
          <w:rFonts w:cstheme="minorHAnsi"/>
          <w:sz w:val="24"/>
          <w:szCs w:val="24"/>
        </w:rPr>
        <w:t xml:space="preserve">Die Bearbeitung von Anträgen und die Vergabe von Zuschüssen erfolgen in der Reihenfolge </w:t>
      </w:r>
      <w:r w:rsidR="00830AF6" w:rsidRPr="005D3E59">
        <w:rPr>
          <w:rFonts w:cstheme="minorHAnsi"/>
          <w:sz w:val="24"/>
          <w:szCs w:val="24"/>
        </w:rPr>
        <w:t xml:space="preserve">des Eingangs </w:t>
      </w:r>
      <w:r w:rsidR="001115A9" w:rsidRPr="005D3E59">
        <w:rPr>
          <w:rFonts w:cstheme="minorHAnsi"/>
          <w:sz w:val="24"/>
          <w:szCs w:val="24"/>
        </w:rPr>
        <w:t>vollständige</w:t>
      </w:r>
      <w:r w:rsidR="00830AF6" w:rsidRPr="005D3E59">
        <w:rPr>
          <w:rFonts w:cstheme="minorHAnsi"/>
          <w:sz w:val="24"/>
          <w:szCs w:val="24"/>
        </w:rPr>
        <w:t>r</w:t>
      </w:r>
      <w:r w:rsidR="001115A9" w:rsidRPr="005D3E59">
        <w:rPr>
          <w:rFonts w:cstheme="minorHAnsi"/>
          <w:sz w:val="24"/>
          <w:szCs w:val="24"/>
        </w:rPr>
        <w:t xml:space="preserve"> Antragsunterlagen. </w:t>
      </w:r>
    </w:p>
    <w:p w:rsidR="00176286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821705" w:rsidRPr="005D3E59">
        <w:rPr>
          <w:rFonts w:cstheme="minorHAnsi"/>
          <w:sz w:val="24"/>
          <w:szCs w:val="24"/>
        </w:rPr>
        <w:t xml:space="preserve">.4 </w:t>
      </w:r>
      <w:r w:rsidR="00821705" w:rsidRPr="005D3E59">
        <w:rPr>
          <w:rFonts w:cstheme="minorHAnsi"/>
          <w:sz w:val="24"/>
          <w:szCs w:val="24"/>
        </w:rPr>
        <w:tab/>
      </w:r>
      <w:r w:rsidR="001115A9" w:rsidRPr="005D3E59">
        <w:rPr>
          <w:rFonts w:cstheme="minorHAnsi"/>
          <w:sz w:val="24"/>
          <w:szCs w:val="24"/>
        </w:rPr>
        <w:t xml:space="preserve">Fehlen bei der Antragstellung Angaben oder Unterlagen, die zur Beurteilung der Förderfähigkeit erforderlich sind, so ist der Zeitpunkt maßgebend, </w:t>
      </w:r>
      <w:r w:rsidR="00C650E3" w:rsidRPr="005D3E59">
        <w:rPr>
          <w:rFonts w:cstheme="minorHAnsi"/>
          <w:sz w:val="24"/>
          <w:szCs w:val="24"/>
        </w:rPr>
        <w:t>zu</w:t>
      </w:r>
      <w:r w:rsidR="001115A9" w:rsidRPr="005D3E59">
        <w:rPr>
          <w:rFonts w:cstheme="minorHAnsi"/>
          <w:sz w:val="24"/>
          <w:szCs w:val="24"/>
        </w:rPr>
        <w:t xml:space="preserve"> welchem die fehlenden Angaben oder Unterlagen nachgereicht werden. </w:t>
      </w:r>
      <w:r w:rsidR="006C04B2">
        <w:rPr>
          <w:rFonts w:cstheme="minorHAnsi"/>
          <w:sz w:val="24"/>
          <w:szCs w:val="24"/>
        </w:rPr>
        <w:t xml:space="preserve">Ein Antrag kann abgelehnt werden, wenn auch nach einer entsprechenden Aufforderung durch die Gemeinde die notwendigen Unterlagen nicht fristgerecht nachgereicht werden. </w:t>
      </w:r>
    </w:p>
    <w:p w:rsidR="00C650E3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821705" w:rsidRPr="005D3E59">
        <w:rPr>
          <w:rFonts w:cstheme="minorHAnsi"/>
          <w:sz w:val="24"/>
          <w:szCs w:val="24"/>
        </w:rPr>
        <w:t>.5</w:t>
      </w:r>
      <w:r w:rsidR="00821705" w:rsidRPr="005D3E59">
        <w:rPr>
          <w:rFonts w:cstheme="minorHAnsi"/>
          <w:sz w:val="24"/>
          <w:szCs w:val="24"/>
        </w:rPr>
        <w:tab/>
      </w:r>
      <w:r w:rsidR="00C650E3" w:rsidRPr="005D3E59">
        <w:rPr>
          <w:rFonts w:cstheme="minorHAnsi"/>
          <w:sz w:val="24"/>
          <w:szCs w:val="24"/>
        </w:rPr>
        <w:t>Der Antragsteller erhält einen Bescheid über die mögliche Gewährung bzw. Nichtgewährung des beantragten Zuschusses.</w:t>
      </w:r>
    </w:p>
    <w:p w:rsidR="00C650E3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821705" w:rsidRPr="005D3E59">
        <w:rPr>
          <w:rFonts w:cstheme="minorHAnsi"/>
          <w:sz w:val="24"/>
          <w:szCs w:val="24"/>
        </w:rPr>
        <w:t>.6</w:t>
      </w:r>
      <w:r w:rsidR="001115A9" w:rsidRPr="005D3E59">
        <w:rPr>
          <w:rFonts w:cstheme="minorHAnsi"/>
          <w:sz w:val="24"/>
          <w:szCs w:val="24"/>
        </w:rPr>
        <w:t xml:space="preserve"> </w:t>
      </w:r>
      <w:r w:rsidR="00821705" w:rsidRPr="005D3E59">
        <w:rPr>
          <w:rFonts w:cstheme="minorHAnsi"/>
          <w:sz w:val="24"/>
          <w:szCs w:val="24"/>
        </w:rPr>
        <w:tab/>
      </w:r>
      <w:r w:rsidR="00C650E3" w:rsidRPr="005D3E59">
        <w:rPr>
          <w:rFonts w:cstheme="minorHAnsi"/>
          <w:sz w:val="24"/>
          <w:szCs w:val="24"/>
        </w:rPr>
        <w:t>Nach Erhalt des Förderbescheides ist der Pellets-Check innerhalb von 6 Monaten durchzuführen</w:t>
      </w:r>
      <w:r w:rsidR="00CD2319" w:rsidRPr="005D3E59">
        <w:rPr>
          <w:rFonts w:cstheme="minorHAnsi"/>
          <w:sz w:val="24"/>
          <w:szCs w:val="24"/>
        </w:rPr>
        <w:t>, wenn er gefördert werden soll.</w:t>
      </w:r>
    </w:p>
    <w:p w:rsidR="006C04B2" w:rsidRDefault="006C04B2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5.7 Vor Ausstellung des Förderbescheids durchgeführte Pellets-Checks werden nicht gefördert. </w:t>
      </w:r>
    </w:p>
    <w:p w:rsidR="006C04B2" w:rsidRPr="005D3E59" w:rsidRDefault="006C04B2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5.8 Als Durchführung des Pellets-Checks gilt </w:t>
      </w:r>
      <w:r w:rsidR="003B066C">
        <w:rPr>
          <w:rFonts w:cstheme="minorHAnsi"/>
          <w:sz w:val="24"/>
          <w:szCs w:val="24"/>
        </w:rPr>
        <w:t xml:space="preserve">das Datum, das in der Rechnung des durchführenden Betriebs als Leistungsdatum genannt wird. </w:t>
      </w:r>
    </w:p>
    <w:p w:rsidR="00830AF6" w:rsidRP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>5</w:t>
      </w:r>
      <w:r w:rsidR="006C04B2">
        <w:rPr>
          <w:rFonts w:cstheme="minorHAnsi"/>
          <w:sz w:val="24"/>
          <w:szCs w:val="24"/>
        </w:rPr>
        <w:t>.9</w:t>
      </w:r>
      <w:r w:rsidR="00C650E3" w:rsidRPr="005D3E59">
        <w:rPr>
          <w:rFonts w:cstheme="minorHAnsi"/>
          <w:sz w:val="24"/>
          <w:szCs w:val="24"/>
        </w:rPr>
        <w:t>.</w:t>
      </w:r>
      <w:r w:rsidR="00821705" w:rsidRPr="005D3E59">
        <w:rPr>
          <w:rFonts w:cstheme="minorHAnsi"/>
          <w:sz w:val="24"/>
          <w:szCs w:val="24"/>
        </w:rPr>
        <w:tab/>
      </w:r>
      <w:r w:rsidR="00C650E3" w:rsidRPr="005D3E59">
        <w:rPr>
          <w:rFonts w:cstheme="minorHAnsi"/>
          <w:sz w:val="24"/>
          <w:szCs w:val="24"/>
        </w:rPr>
        <w:t>Für die Au</w:t>
      </w:r>
      <w:r w:rsidR="00821705" w:rsidRPr="005D3E59">
        <w:rPr>
          <w:rFonts w:cstheme="minorHAnsi"/>
          <w:sz w:val="24"/>
          <w:szCs w:val="24"/>
        </w:rPr>
        <w:t xml:space="preserve">szahlung des Zuschusses ist das Auszahlungs-Formular, eine Kopie der </w:t>
      </w:r>
      <w:r w:rsidR="00C650E3" w:rsidRPr="005D3E59">
        <w:rPr>
          <w:rFonts w:cstheme="minorHAnsi"/>
          <w:sz w:val="24"/>
          <w:szCs w:val="24"/>
        </w:rPr>
        <w:t xml:space="preserve">Rechnung des </w:t>
      </w:r>
      <w:r w:rsidR="00CD2319" w:rsidRPr="005D3E59">
        <w:rPr>
          <w:rFonts w:cstheme="minorHAnsi"/>
          <w:sz w:val="24"/>
          <w:szCs w:val="24"/>
        </w:rPr>
        <w:t xml:space="preserve">Beraters sowie eine Kopie der Seite </w:t>
      </w:r>
      <w:r w:rsidR="00F479EC" w:rsidRPr="005D3E59">
        <w:rPr>
          <w:rFonts w:cstheme="minorHAnsi"/>
          <w:sz w:val="24"/>
          <w:szCs w:val="24"/>
        </w:rPr>
        <w:t xml:space="preserve">1 </w:t>
      </w:r>
      <w:r w:rsidR="00CD2319" w:rsidRPr="005D3E59">
        <w:rPr>
          <w:rFonts w:cstheme="minorHAnsi"/>
          <w:sz w:val="24"/>
          <w:szCs w:val="24"/>
        </w:rPr>
        <w:t xml:space="preserve">des Pellets-Checks </w:t>
      </w:r>
      <w:r w:rsidR="00F479EC" w:rsidRPr="005D3E59">
        <w:rPr>
          <w:rFonts w:cstheme="minorHAnsi"/>
          <w:sz w:val="24"/>
          <w:szCs w:val="24"/>
        </w:rPr>
        <w:t>(</w:t>
      </w:r>
      <w:r w:rsidR="00821705" w:rsidRPr="005D3E59">
        <w:rPr>
          <w:rFonts w:cstheme="minorHAnsi"/>
          <w:sz w:val="24"/>
          <w:szCs w:val="24"/>
        </w:rPr>
        <w:t>=</w:t>
      </w:r>
      <w:r w:rsidR="00F479EC" w:rsidRPr="005D3E59">
        <w:rPr>
          <w:rFonts w:cstheme="minorHAnsi"/>
          <w:sz w:val="24"/>
          <w:szCs w:val="24"/>
        </w:rPr>
        <w:t>die Seite mit der Skala)</w:t>
      </w:r>
      <w:r w:rsidR="00821705" w:rsidRPr="005D3E59">
        <w:rPr>
          <w:rFonts w:cstheme="minorHAnsi"/>
          <w:sz w:val="24"/>
          <w:szCs w:val="24"/>
        </w:rPr>
        <w:t xml:space="preserve"> einzureichen</w:t>
      </w:r>
      <w:r w:rsidR="00CD2319" w:rsidRPr="005D3E59">
        <w:rPr>
          <w:rFonts w:cstheme="minorHAnsi"/>
          <w:sz w:val="24"/>
          <w:szCs w:val="24"/>
        </w:rPr>
        <w:t xml:space="preserve">. </w:t>
      </w:r>
      <w:r w:rsidR="006C04B2">
        <w:rPr>
          <w:rFonts w:cstheme="minorHAnsi"/>
          <w:sz w:val="24"/>
          <w:szCs w:val="24"/>
        </w:rPr>
        <w:t xml:space="preserve">Die für die Auszahlung erforderlichen Formulare und Unterlagen müssen innerhalb von 9 Monaten nach Erhalt des Förderbescheids vollständig eingereicht sein. Andernfalls kann die Zusage zur Förderung zurückgezogen werden. </w:t>
      </w:r>
    </w:p>
    <w:p w:rsidR="005D3E59" w:rsidRDefault="0007564C" w:rsidP="007F1C58">
      <w:pPr>
        <w:keepNext/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6.</w:t>
      </w:r>
      <w:r w:rsidR="005D3E59" w:rsidRPr="005D3E59">
        <w:rPr>
          <w:rFonts w:cstheme="minorHAnsi"/>
          <w:b/>
          <w:sz w:val="24"/>
          <w:szCs w:val="24"/>
        </w:rPr>
        <w:tab/>
      </w:r>
      <w:r w:rsidR="005D3E59" w:rsidRPr="005D3E59">
        <w:rPr>
          <w:rFonts w:cstheme="minorHAnsi"/>
          <w:b/>
          <w:bCs/>
          <w:sz w:val="24"/>
          <w:szCs w:val="24"/>
        </w:rPr>
        <w:t>Rückzahlungsverpflichtung</w:t>
      </w:r>
    </w:p>
    <w:p w:rsidR="005D3E59" w:rsidRDefault="005D3E59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 w:rsidRPr="005D3E59">
        <w:rPr>
          <w:rFonts w:cstheme="minorHAnsi"/>
          <w:sz w:val="24"/>
          <w:szCs w:val="24"/>
        </w:rPr>
        <w:t xml:space="preserve">6.1 </w:t>
      </w:r>
      <w:r>
        <w:rPr>
          <w:rFonts w:cstheme="minorHAnsi"/>
          <w:sz w:val="24"/>
          <w:szCs w:val="24"/>
        </w:rPr>
        <w:t xml:space="preserve">Bei Verstoß gegen diese Richtlinie oder im Falle falscher Angaben wird die Förderung aufgehoben. Unrechtmäßig erhaltene Beträge </w:t>
      </w:r>
      <w:r w:rsidR="00431C9A">
        <w:rPr>
          <w:rFonts w:cstheme="minorHAnsi"/>
          <w:sz w:val="24"/>
          <w:szCs w:val="24"/>
        </w:rPr>
        <w:t xml:space="preserve">werden mit der Aufhebung zur Rückzahlung fällig und sind ab Empfang der Zahlung mit einem Zuschlag von 2 % über dem jeweiligen Basiszinssatz der EZB zu verzinsen. </w:t>
      </w:r>
    </w:p>
    <w:p w:rsidR="005E2F4A" w:rsidRPr="005E2F4A" w:rsidRDefault="005E2F4A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sz w:val="24"/>
          <w:szCs w:val="24"/>
        </w:rPr>
      </w:pPr>
      <w:r w:rsidRPr="005E2F4A">
        <w:rPr>
          <w:rFonts w:cstheme="minorHAnsi"/>
          <w:b/>
          <w:sz w:val="24"/>
          <w:szCs w:val="24"/>
        </w:rPr>
        <w:t>7.</w:t>
      </w:r>
      <w:r w:rsidRPr="005E2F4A">
        <w:rPr>
          <w:rFonts w:cstheme="minorHAnsi"/>
          <w:b/>
          <w:sz w:val="24"/>
          <w:szCs w:val="24"/>
        </w:rPr>
        <w:tab/>
        <w:t>Datenschutz</w:t>
      </w:r>
    </w:p>
    <w:p w:rsidR="005E2F4A" w:rsidRPr="005D3E59" w:rsidRDefault="005E2F4A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7.1 </w:t>
      </w:r>
      <w:r w:rsidR="005C10A6">
        <w:rPr>
          <w:rFonts w:cstheme="minorHAnsi"/>
          <w:sz w:val="24"/>
          <w:szCs w:val="24"/>
        </w:rPr>
        <w:t>Die Interessen der Antragsteller am Schutz persönlicher Daten werden gewahrt. Daten aus dem</w:t>
      </w:r>
      <w:r>
        <w:rPr>
          <w:rFonts w:cstheme="minorHAnsi"/>
          <w:sz w:val="24"/>
          <w:szCs w:val="24"/>
        </w:rPr>
        <w:t xml:space="preserve"> Antrags- </w:t>
      </w:r>
      <w:r w:rsidR="005C10A6">
        <w:rPr>
          <w:rFonts w:cstheme="minorHAnsi"/>
          <w:sz w:val="24"/>
          <w:szCs w:val="24"/>
        </w:rPr>
        <w:t xml:space="preserve">bzw. </w:t>
      </w:r>
      <w:r>
        <w:rPr>
          <w:rFonts w:cstheme="minorHAnsi"/>
          <w:sz w:val="24"/>
          <w:szCs w:val="24"/>
        </w:rPr>
        <w:t xml:space="preserve">Auszahlungsformular sowie </w:t>
      </w:r>
      <w:r w:rsidR="005C10A6">
        <w:rPr>
          <w:rFonts w:cstheme="minorHAnsi"/>
          <w:sz w:val="24"/>
          <w:szCs w:val="24"/>
        </w:rPr>
        <w:t xml:space="preserve">aus der </w:t>
      </w:r>
      <w:r>
        <w:rPr>
          <w:rFonts w:cstheme="minorHAnsi"/>
          <w:sz w:val="24"/>
          <w:szCs w:val="24"/>
        </w:rPr>
        <w:t xml:space="preserve">Seite 1 eines Pellets-Checks </w:t>
      </w:r>
      <w:r w:rsidR="005C10A6">
        <w:rPr>
          <w:rFonts w:cstheme="minorHAnsi"/>
          <w:sz w:val="24"/>
          <w:szCs w:val="24"/>
        </w:rPr>
        <w:t>können jedoch von der Gemeinde in aufbereiteter, anonymisierter Form verwendet werden.</w:t>
      </w:r>
      <w:r>
        <w:rPr>
          <w:rFonts w:cstheme="minorHAnsi"/>
          <w:sz w:val="24"/>
          <w:szCs w:val="24"/>
        </w:rPr>
        <w:t xml:space="preserve"> </w:t>
      </w:r>
    </w:p>
    <w:p w:rsidR="0004348B" w:rsidRPr="005D3E59" w:rsidRDefault="005E2F4A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821705" w:rsidRPr="005D3E59">
        <w:rPr>
          <w:rFonts w:cstheme="minorHAnsi"/>
          <w:b/>
          <w:bCs/>
          <w:sz w:val="24"/>
          <w:szCs w:val="24"/>
        </w:rPr>
        <w:t xml:space="preserve">. </w:t>
      </w:r>
      <w:r w:rsidR="00821705" w:rsidRPr="005D3E59">
        <w:rPr>
          <w:rFonts w:cstheme="minorHAnsi"/>
          <w:b/>
          <w:bCs/>
          <w:sz w:val="24"/>
          <w:szCs w:val="24"/>
        </w:rPr>
        <w:tab/>
        <w:t>Inkrafttreten</w:t>
      </w:r>
    </w:p>
    <w:p w:rsidR="00821705" w:rsidRPr="005D3E59" w:rsidRDefault="005E2F4A" w:rsidP="0007564C">
      <w:pPr>
        <w:autoSpaceDE w:val="0"/>
        <w:autoSpaceDN w:val="0"/>
        <w:adjustRightInd w:val="0"/>
        <w:spacing w:after="240" w:line="240" w:lineRule="auto"/>
        <w:ind w:left="425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6C04B2">
        <w:rPr>
          <w:rFonts w:cstheme="minorHAnsi"/>
          <w:sz w:val="24"/>
          <w:szCs w:val="24"/>
        </w:rPr>
        <w:t>.1</w:t>
      </w:r>
      <w:r w:rsidR="006C04B2">
        <w:rPr>
          <w:rFonts w:cstheme="minorHAnsi"/>
          <w:sz w:val="24"/>
          <w:szCs w:val="24"/>
        </w:rPr>
        <w:tab/>
      </w:r>
      <w:r w:rsidR="00821705" w:rsidRPr="005D3E59">
        <w:rPr>
          <w:rFonts w:cstheme="minorHAnsi"/>
          <w:sz w:val="24"/>
          <w:szCs w:val="24"/>
        </w:rPr>
        <w:t>Die Förderrichtlinie tritt nach der öffentlichen Bekanntmachung in Kraft.</w:t>
      </w:r>
    </w:p>
    <w:p w:rsidR="00821705" w:rsidRPr="005D3E59" w:rsidRDefault="00821705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04348B" w:rsidRPr="0007564C" w:rsidRDefault="0004348B" w:rsidP="001762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7564C">
        <w:rPr>
          <w:rFonts w:cstheme="minorHAnsi"/>
          <w:sz w:val="24"/>
          <w:szCs w:val="24"/>
          <w:highlight w:val="yellow"/>
        </w:rPr>
        <w:t>Name des Bürgermeister</w:t>
      </w:r>
      <w:r w:rsidR="0007564C" w:rsidRPr="0007564C">
        <w:rPr>
          <w:rFonts w:cstheme="minorHAnsi"/>
          <w:sz w:val="24"/>
          <w:szCs w:val="24"/>
          <w:highlight w:val="yellow"/>
        </w:rPr>
        <w:t>s</w:t>
      </w:r>
      <w:r w:rsidRPr="0007564C">
        <w:rPr>
          <w:rFonts w:cstheme="minorHAnsi"/>
          <w:sz w:val="24"/>
          <w:szCs w:val="24"/>
          <w:highlight w:val="yellow"/>
        </w:rPr>
        <w:t>, Datum, Unterschrift, Stempel</w:t>
      </w:r>
      <w:r w:rsidRPr="0007564C">
        <w:rPr>
          <w:rFonts w:cstheme="minorHAnsi"/>
          <w:sz w:val="24"/>
          <w:szCs w:val="24"/>
        </w:rPr>
        <w:t xml:space="preserve"> </w:t>
      </w:r>
    </w:p>
    <w:sectPr w:rsidR="0004348B" w:rsidRPr="0007564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3B" w:rsidRDefault="0090493B" w:rsidP="0090493B">
      <w:pPr>
        <w:spacing w:after="0" w:line="240" w:lineRule="auto"/>
      </w:pPr>
      <w:r>
        <w:separator/>
      </w:r>
    </w:p>
  </w:endnote>
  <w:end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79961"/>
      <w:docPartObj>
        <w:docPartGallery w:val="Page Numbers (Bottom of Page)"/>
        <w:docPartUnique/>
      </w:docPartObj>
    </w:sdtPr>
    <w:sdtEndPr/>
    <w:sdtContent>
      <w:p w:rsidR="00092F5B" w:rsidRDefault="00092F5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F25">
          <w:rPr>
            <w:noProof/>
          </w:rPr>
          <w:t>1</w:t>
        </w:r>
        <w:r>
          <w:fldChar w:fldCharType="end"/>
        </w:r>
      </w:p>
    </w:sdtContent>
  </w:sdt>
  <w:p w:rsidR="0090493B" w:rsidRDefault="0090493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3B" w:rsidRDefault="0090493B" w:rsidP="0090493B">
      <w:pPr>
        <w:spacing w:after="0" w:line="240" w:lineRule="auto"/>
      </w:pPr>
      <w:r>
        <w:separator/>
      </w:r>
    </w:p>
  </w:footnote>
  <w:footnote w:type="continuationSeparator" w:id="0">
    <w:p w:rsidR="0090493B" w:rsidRDefault="0090493B" w:rsidP="0090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E14F2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1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Pr="00092F5B" w:rsidRDefault="00092F5B">
    <w:pPr>
      <w:pStyle w:val="Kopfzeile"/>
      <w:rPr>
        <w:rFonts w:cstheme="minorHAnsi"/>
      </w:rPr>
    </w:pPr>
    <w:r w:rsidRPr="00092F5B">
      <w:rPr>
        <w:rFonts w:cstheme="minorHAnsi"/>
      </w:rPr>
      <w:t>Anlage 1: Entwurf einer Förderrichtlinie</w:t>
    </w:r>
    <w:r w:rsidR="00E14F25">
      <w:rPr>
        <w:rFonts w:cstheme="minorHAnsi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2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3B" w:rsidRDefault="00E14F2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24530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5AD"/>
    <w:multiLevelType w:val="hybridMultilevel"/>
    <w:tmpl w:val="4E5EDE86"/>
    <w:lvl w:ilvl="0" w:tplc="042A17F2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691"/>
    <w:multiLevelType w:val="hybridMultilevel"/>
    <w:tmpl w:val="E8E8A0E4"/>
    <w:lvl w:ilvl="0" w:tplc="9CC4A77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86856"/>
    <w:multiLevelType w:val="multilevel"/>
    <w:tmpl w:val="8F565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6D770A7"/>
    <w:multiLevelType w:val="hybridMultilevel"/>
    <w:tmpl w:val="FBE2C52E"/>
    <w:lvl w:ilvl="0" w:tplc="E5989FE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1"/>
  </w:num>
  <w:num w:numId="12">
    <w:abstractNumId w:val="3"/>
  </w:num>
  <w:num w:numId="13">
    <w:abstractNumId w:val="0"/>
  </w:num>
  <w:num w:numId="14">
    <w:abstractNumId w:val="1"/>
  </w:num>
  <w:num w:numId="15">
    <w:abstractNumId w:val="1"/>
  </w:num>
  <w:num w:numId="16">
    <w:abstractNumId w:val="3"/>
  </w:num>
  <w:num w:numId="17">
    <w:abstractNumId w:val="0"/>
  </w:num>
  <w:num w:numId="18">
    <w:abstractNumId w:val="1"/>
  </w:num>
  <w:num w:numId="19">
    <w:abstractNumId w:val="1"/>
  </w:num>
  <w:num w:numId="20">
    <w:abstractNumId w:val="3"/>
  </w:num>
  <w:num w:numId="21">
    <w:abstractNumId w:val="0"/>
  </w:num>
  <w:num w:numId="22">
    <w:abstractNumId w:val="1"/>
  </w:num>
  <w:num w:numId="23">
    <w:abstractNumId w:val="1"/>
  </w:num>
  <w:num w:numId="24">
    <w:abstractNumId w:val="3"/>
  </w:num>
  <w:num w:numId="25">
    <w:abstractNumId w:val="0"/>
  </w:num>
  <w:num w:numId="26">
    <w:abstractNumId w:val="1"/>
  </w:num>
  <w:num w:numId="27">
    <w:abstractNumId w:val="1"/>
  </w:num>
  <w:num w:numId="28">
    <w:abstractNumId w:val="3"/>
  </w:num>
  <w:num w:numId="29">
    <w:abstractNumId w:val="0"/>
  </w:num>
  <w:num w:numId="30">
    <w:abstractNumId w:val="1"/>
  </w:num>
  <w:num w:numId="31">
    <w:abstractNumId w:val="1"/>
  </w:num>
  <w:num w:numId="32">
    <w:abstractNumId w:val="3"/>
  </w:num>
  <w:num w:numId="33">
    <w:abstractNumId w:val="0"/>
  </w:num>
  <w:num w:numId="34">
    <w:abstractNumId w:val="1"/>
  </w:num>
  <w:num w:numId="35">
    <w:abstractNumId w:val="1"/>
  </w:num>
  <w:num w:numId="36">
    <w:abstractNumId w:val="3"/>
  </w:num>
  <w:num w:numId="37">
    <w:abstractNumId w:val="0"/>
  </w:num>
  <w:num w:numId="38">
    <w:abstractNumId w:val="1"/>
  </w:num>
  <w:num w:numId="39">
    <w:abstractNumId w:val="1"/>
  </w:num>
  <w:num w:numId="40">
    <w:abstractNumId w:val="3"/>
  </w:num>
  <w:num w:numId="41">
    <w:abstractNumId w:val="0"/>
  </w:num>
  <w:num w:numId="42">
    <w:abstractNumId w:val="1"/>
  </w:num>
  <w:num w:numId="43">
    <w:abstractNumId w:val="1"/>
  </w:num>
  <w:num w:numId="44">
    <w:abstractNumId w:val="1"/>
  </w:num>
  <w:num w:numId="45">
    <w:abstractNumId w:val="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6"/>
    <w:rsid w:val="00020128"/>
    <w:rsid w:val="0004348B"/>
    <w:rsid w:val="000534A3"/>
    <w:rsid w:val="0007564C"/>
    <w:rsid w:val="00092F5B"/>
    <w:rsid w:val="001115A9"/>
    <w:rsid w:val="00176286"/>
    <w:rsid w:val="00180F3B"/>
    <w:rsid w:val="001A2766"/>
    <w:rsid w:val="001C4772"/>
    <w:rsid w:val="003A35CE"/>
    <w:rsid w:val="003B066C"/>
    <w:rsid w:val="00431C9A"/>
    <w:rsid w:val="004A17E2"/>
    <w:rsid w:val="004C2E0C"/>
    <w:rsid w:val="005072E7"/>
    <w:rsid w:val="0057696B"/>
    <w:rsid w:val="005C10A6"/>
    <w:rsid w:val="005D3E59"/>
    <w:rsid w:val="005E2F4A"/>
    <w:rsid w:val="0064615F"/>
    <w:rsid w:val="006B3C09"/>
    <w:rsid w:val="006C04B2"/>
    <w:rsid w:val="0070769D"/>
    <w:rsid w:val="007507FB"/>
    <w:rsid w:val="00797AC5"/>
    <w:rsid w:val="007A3ED7"/>
    <w:rsid w:val="007F1C58"/>
    <w:rsid w:val="00821705"/>
    <w:rsid w:val="00830AF6"/>
    <w:rsid w:val="00886506"/>
    <w:rsid w:val="00895D1A"/>
    <w:rsid w:val="0090493B"/>
    <w:rsid w:val="00963121"/>
    <w:rsid w:val="00965362"/>
    <w:rsid w:val="00A26D16"/>
    <w:rsid w:val="00A56366"/>
    <w:rsid w:val="00A83E72"/>
    <w:rsid w:val="00AA4A5F"/>
    <w:rsid w:val="00B853FF"/>
    <w:rsid w:val="00BF424B"/>
    <w:rsid w:val="00C12768"/>
    <w:rsid w:val="00C554DC"/>
    <w:rsid w:val="00C650E3"/>
    <w:rsid w:val="00CC212F"/>
    <w:rsid w:val="00CD2319"/>
    <w:rsid w:val="00D00938"/>
    <w:rsid w:val="00E14F25"/>
    <w:rsid w:val="00EE2143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D16"/>
  </w:style>
  <w:style w:type="paragraph" w:styleId="berschrift1">
    <w:name w:val="heading 1"/>
    <w:aliases w:val="Überschrift 1. Ebene"/>
    <w:basedOn w:val="Standard"/>
    <w:next w:val="Standard"/>
    <w:link w:val="berschrift1Zchn"/>
    <w:uiPriority w:val="9"/>
    <w:qFormat/>
    <w:rsid w:val="00A26D16"/>
    <w:pPr>
      <w:keepNext/>
      <w:keepLines/>
      <w:numPr>
        <w:numId w:val="44"/>
      </w:numPr>
      <w:tabs>
        <w:tab w:val="left" w:pos="567"/>
      </w:tabs>
      <w:spacing w:after="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berschrift2">
    <w:name w:val="heading 2"/>
    <w:aliases w:val="Überschrift 2. Ebene"/>
    <w:basedOn w:val="Standard"/>
    <w:next w:val="Standard"/>
    <w:link w:val="berschrift2Zchn"/>
    <w:uiPriority w:val="9"/>
    <w:unhideWhenUsed/>
    <w:qFormat/>
    <w:rsid w:val="00A26D16"/>
    <w:pPr>
      <w:keepNext/>
      <w:keepLines/>
      <w:numPr>
        <w:numId w:val="45"/>
      </w:numPr>
      <w:tabs>
        <w:tab w:val="left" w:pos="567"/>
      </w:tabs>
      <w:spacing w:after="0" w:line="240" w:lineRule="auto"/>
      <w:outlineLvl w:val="1"/>
    </w:pPr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26D16"/>
    <w:pPr>
      <w:keepNext/>
      <w:keepLines/>
      <w:numPr>
        <w:numId w:val="46"/>
      </w:numPr>
      <w:tabs>
        <w:tab w:val="left" w:pos="567"/>
      </w:tabs>
      <w:spacing w:after="0" w:line="240" w:lineRule="auto"/>
      <w:outlineLvl w:val="2"/>
    </w:pPr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6D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6D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24E7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6D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6D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6D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6D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berschrift 1. Ebene Zchn"/>
    <w:basedOn w:val="Absatz-Standardschriftart"/>
    <w:link w:val="berschrift1"/>
    <w:uiPriority w:val="9"/>
    <w:rsid w:val="00A26D16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aliases w:val="Überschrift 2. Ebene Zchn"/>
    <w:basedOn w:val="Absatz-Standardschriftart"/>
    <w:link w:val="berschrift2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D16"/>
    <w:rPr>
      <w:rFonts w:ascii="Arial" w:eastAsiaTheme="majorEastAsia" w:hAnsi="Arial" w:cstheme="majorBidi"/>
      <w:b/>
      <w:bCs/>
      <w:color w:val="0D0D0D" w:themeColor="text1" w:themeTint="F2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6D16"/>
    <w:rPr>
      <w:rFonts w:asciiTheme="majorHAnsi" w:eastAsiaTheme="majorEastAsia" w:hAnsiTheme="majorHAnsi" w:cstheme="majorBidi"/>
      <w:b/>
      <w:bCs/>
      <w:i/>
      <w:iCs/>
      <w:color w:val="629DD1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6D16"/>
    <w:rPr>
      <w:rFonts w:asciiTheme="majorHAnsi" w:eastAsiaTheme="majorEastAsia" w:hAnsiTheme="majorHAnsi" w:cstheme="majorBidi"/>
      <w:color w:val="224E7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6D16"/>
    <w:rPr>
      <w:rFonts w:asciiTheme="majorHAnsi" w:eastAsiaTheme="majorEastAsia" w:hAnsiTheme="majorHAnsi" w:cstheme="majorBidi"/>
      <w:i/>
      <w:iCs/>
      <w:color w:val="224E7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6D16"/>
    <w:rPr>
      <w:rFonts w:asciiTheme="majorHAnsi" w:eastAsiaTheme="majorEastAsia" w:hAnsiTheme="majorHAnsi" w:cstheme="majorBidi"/>
      <w:color w:val="629DD1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6D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rsid w:val="00CC212F"/>
    <w:pPr>
      <w:tabs>
        <w:tab w:val="left" w:pos="284"/>
      </w:tabs>
      <w:ind w:left="284" w:hanging="284"/>
    </w:pPr>
    <w:rPr>
      <w:rFonts w:ascii="Lucida Sans Unicode" w:hAnsi="Lucida Sans Unicode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212F"/>
    <w:rPr>
      <w:rFonts w:ascii="Lucida Sans Unicode" w:hAnsi="Lucida Sans Unicode"/>
      <w:sz w:val="16"/>
      <w:szCs w:val="20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qFormat/>
    <w:rsid w:val="00A26D16"/>
    <w:pPr>
      <w:spacing w:line="240" w:lineRule="auto"/>
    </w:pPr>
    <w:rPr>
      <w:b/>
      <w:bCs/>
      <w:color w:val="629DD1" w:themeColor="accent1"/>
      <w:sz w:val="18"/>
      <w:szCs w:val="18"/>
    </w:rPr>
  </w:style>
  <w:style w:type="character" w:customStyle="1" w:styleId="BeschriftungZchn">
    <w:name w:val="Beschriftung Zchn"/>
    <w:link w:val="Beschriftung"/>
    <w:uiPriority w:val="35"/>
    <w:rsid w:val="00A26D16"/>
    <w:rPr>
      <w:b/>
      <w:bCs/>
      <w:color w:val="629DD1" w:themeColor="accent1"/>
      <w:sz w:val="18"/>
      <w:szCs w:val="18"/>
    </w:rPr>
  </w:style>
  <w:style w:type="paragraph" w:styleId="KeinLeerraum">
    <w:name w:val="No Spacing"/>
    <w:uiPriority w:val="1"/>
    <w:qFormat/>
    <w:rsid w:val="00A26D16"/>
    <w:pPr>
      <w:spacing w:after="0" w:line="240" w:lineRule="auto"/>
    </w:pPr>
  </w:style>
  <w:style w:type="paragraph" w:styleId="Listenabsatz">
    <w:name w:val="List Paragraph"/>
    <w:basedOn w:val="Standard"/>
    <w:link w:val="ListenabsatzZchn"/>
    <w:uiPriority w:val="34"/>
    <w:qFormat/>
    <w:rsid w:val="00A26D16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A26D16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6D1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uiPriority w:val="39"/>
    <w:qFormat/>
    <w:rsid w:val="00A26D16"/>
    <w:pPr>
      <w:tabs>
        <w:tab w:val="left" w:pos="425"/>
        <w:tab w:val="right" w:leader="dot" w:pos="8505"/>
      </w:tabs>
      <w:spacing w:before="180" w:line="264" w:lineRule="auto"/>
      <w:ind w:left="425" w:hanging="425"/>
      <w:contextualSpacing/>
    </w:pPr>
    <w:rPr>
      <w:rFonts w:ascii="Lucida Sans Unicode" w:eastAsia="SimSun" w:hAnsi="Lucida Sans Unicode"/>
      <w:b/>
      <w:noProof/>
      <w:sz w:val="20"/>
      <w:lang w:eastAsia="zh-CN"/>
    </w:rPr>
  </w:style>
  <w:style w:type="paragraph" w:styleId="Verzeichnis2">
    <w:name w:val="toc 2"/>
    <w:basedOn w:val="Standard"/>
    <w:next w:val="Standard"/>
    <w:uiPriority w:val="39"/>
    <w:qFormat/>
    <w:rsid w:val="00A26D16"/>
    <w:pPr>
      <w:tabs>
        <w:tab w:val="left" w:pos="992"/>
        <w:tab w:val="right" w:leader="dot" w:pos="8505"/>
      </w:tabs>
      <w:spacing w:line="264" w:lineRule="auto"/>
      <w:ind w:left="992" w:hanging="567"/>
    </w:pPr>
    <w:rPr>
      <w:rFonts w:ascii="Lucida Sans Unicode" w:eastAsia="SimSun" w:hAnsi="Lucida Sans Unicode"/>
      <w:noProof/>
      <w:sz w:val="20"/>
      <w:lang w:eastAsia="zh-CN"/>
    </w:rPr>
  </w:style>
  <w:style w:type="paragraph" w:styleId="Verzeichnis3">
    <w:name w:val="toc 3"/>
    <w:basedOn w:val="Standard"/>
    <w:next w:val="Standard"/>
    <w:uiPriority w:val="39"/>
    <w:qFormat/>
    <w:rsid w:val="00A26D16"/>
    <w:pPr>
      <w:tabs>
        <w:tab w:val="left" w:pos="1701"/>
        <w:tab w:val="right" w:leader="dot" w:pos="8505"/>
      </w:tabs>
      <w:spacing w:line="264" w:lineRule="auto"/>
      <w:ind w:left="1701" w:hanging="709"/>
    </w:pPr>
    <w:rPr>
      <w:rFonts w:ascii="Lucida Sans Unicode" w:eastAsia="SimSun" w:hAnsi="Lucida Sans Unicode"/>
      <w:noProof/>
      <w:sz w:val="20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A26D16"/>
    <w:pPr>
      <w:spacing w:after="300"/>
      <w:contextualSpacing/>
      <w:jc w:val="center"/>
    </w:pPr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26D16"/>
    <w:rPr>
      <w:rFonts w:ascii="Arial" w:eastAsiaTheme="majorEastAsia" w:hAnsi="Arial" w:cstheme="majorBidi"/>
      <w:b/>
      <w:color w:val="1B1D3D" w:themeColor="text2" w:themeShade="BF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6D16"/>
    <w:pPr>
      <w:numPr>
        <w:ilvl w:val="1"/>
      </w:numPr>
    </w:pPr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6D16"/>
    <w:rPr>
      <w:rFonts w:asciiTheme="majorHAnsi" w:eastAsiaTheme="majorEastAsia" w:hAnsiTheme="majorHAnsi" w:cstheme="majorBidi"/>
      <w:i/>
      <w:iCs/>
      <w:color w:val="629DD1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26D16"/>
    <w:rPr>
      <w:b/>
      <w:bCs/>
    </w:rPr>
  </w:style>
  <w:style w:type="character" w:styleId="Hervorhebung">
    <w:name w:val="Emphasis"/>
    <w:basedOn w:val="Absatz-Standardschriftart"/>
    <w:uiPriority w:val="20"/>
    <w:qFormat/>
    <w:rsid w:val="00A26D16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A26D1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26D1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6D16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6D16"/>
    <w:rPr>
      <w:b/>
      <w:bCs/>
      <w:i/>
      <w:iCs/>
      <w:color w:val="629DD1" w:themeColor="accent1"/>
    </w:rPr>
  </w:style>
  <w:style w:type="character" w:styleId="SchwacheHervorhebung">
    <w:name w:val="Subtle Emphasis"/>
    <w:basedOn w:val="Absatz-Standardschriftart"/>
    <w:uiPriority w:val="19"/>
    <w:qFormat/>
    <w:rsid w:val="00A26D1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A26D16"/>
    <w:rPr>
      <w:b/>
      <w:bCs/>
      <w:i/>
      <w:iCs/>
      <w:color w:val="629DD1" w:themeColor="accent1"/>
    </w:rPr>
  </w:style>
  <w:style w:type="character" w:styleId="SchwacherVerweis">
    <w:name w:val="Subtle Reference"/>
    <w:basedOn w:val="Absatz-Standardschriftart"/>
    <w:uiPriority w:val="31"/>
    <w:qFormat/>
    <w:rsid w:val="00A26D16"/>
    <w:rPr>
      <w:smallCaps/>
      <w:color w:val="297FD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A26D16"/>
    <w:rPr>
      <w:b/>
      <w:bCs/>
      <w:smallCaps/>
      <w:color w:val="297FD5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A26D1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93B"/>
  </w:style>
  <w:style w:type="paragraph" w:styleId="Fuzeile">
    <w:name w:val="footer"/>
    <w:basedOn w:val="Standard"/>
    <w:link w:val="FuzeileZchn"/>
    <w:uiPriority w:val="99"/>
    <w:unhideWhenUsed/>
    <w:rsid w:val="00904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9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senz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952E-FF5A-4E76-86D9-CAAB86AC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ifam</dc:creator>
  <cp:lastModifiedBy>ifam</cp:lastModifiedBy>
  <cp:revision>20</cp:revision>
  <cp:lastPrinted>2018-11-15T14:18:00Z</cp:lastPrinted>
  <dcterms:created xsi:type="dcterms:W3CDTF">2018-11-08T10:43:00Z</dcterms:created>
  <dcterms:modified xsi:type="dcterms:W3CDTF">2018-11-15T15:05:00Z</dcterms:modified>
</cp:coreProperties>
</file>